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CBF8" w14:textId="77777777" w:rsidR="00045158" w:rsidRPr="00045158" w:rsidRDefault="00045158" w:rsidP="00045158">
      <w:pPr>
        <w:pStyle w:val="Intestazione"/>
        <w:jc w:val="center"/>
        <w:rPr>
          <w:rFonts w:asciiTheme="majorHAnsi" w:eastAsiaTheme="majorEastAsia" w:hAnsiTheme="majorHAnsi" w:cstheme="majorBidi"/>
          <w:b/>
          <w:sz w:val="32"/>
          <w:szCs w:val="32"/>
        </w:rPr>
      </w:pPr>
      <w:r w:rsidRPr="00045158">
        <w:rPr>
          <w:rFonts w:asciiTheme="majorHAnsi" w:eastAsiaTheme="majorEastAsia" w:hAnsiTheme="majorHAnsi" w:cstheme="majorBidi"/>
          <w:sz w:val="32"/>
          <w:szCs w:val="32"/>
        </w:rPr>
        <w:t>ENTI DEL SERVIZIO SANITARIO</w:t>
      </w:r>
    </w:p>
    <w:p w14:paraId="6C0E4C4C" w14:textId="77777777" w:rsidR="00501D92" w:rsidRDefault="00501D92" w:rsidP="00D20D97">
      <w:pPr>
        <w:pStyle w:val="Intestazione"/>
        <w:jc w:val="center"/>
      </w:pPr>
    </w:p>
    <w:p w14:paraId="7D4CC6C0" w14:textId="77777777" w:rsidR="003A3014" w:rsidRDefault="003A3014" w:rsidP="00C0653D">
      <w:pPr>
        <w:spacing w:line="360" w:lineRule="auto"/>
        <w:jc w:val="both"/>
        <w:rPr>
          <w:rFonts w:ascii="Garamond" w:hAnsi="Garamond" w:cs="Times New Roman"/>
          <w:sz w:val="24"/>
          <w:szCs w:val="24"/>
        </w:rPr>
      </w:pPr>
    </w:p>
    <w:p w14:paraId="0571C02B" w14:textId="7BF88E90"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5B5DDF">
        <w:rPr>
          <w:rFonts w:ascii="Titillium" w:hAnsi="Titillium" w:cs="Titillium Web"/>
          <w:sz w:val="20"/>
          <w:szCs w:val="20"/>
        </w:rPr>
        <w:t xml:space="preserve"> </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14:paraId="77E5F461" w14:textId="180F7B28" w:rsidR="00A76C67" w:rsidRDefault="00C0653D" w:rsidP="002D61F7">
      <w:pPr>
        <w:spacing w:line="360" w:lineRule="auto"/>
        <w:jc w:val="center"/>
        <w:rPr>
          <w:rFonts w:ascii="Titillium" w:hAnsi="Titillium" w:cs="Titillium Web"/>
          <w:sz w:val="20"/>
          <w:szCs w:val="20"/>
        </w:rPr>
      </w:pPr>
      <w:r w:rsidRPr="00691E8A">
        <w:rPr>
          <w:rFonts w:ascii="Titillium" w:hAnsi="Titillium" w:cs="Titillium Web"/>
          <w:sz w:val="20"/>
          <w:szCs w:val="20"/>
        </w:rPr>
        <w:t>DICH</w:t>
      </w:r>
      <w:r w:rsidR="00095A1A">
        <w:rPr>
          <w:rFonts w:ascii="Titillium" w:hAnsi="Titillium" w:cs="Titillium Web"/>
          <w:sz w:val="20"/>
          <w:szCs w:val="20"/>
        </w:rPr>
        <w:t>IARA</w:t>
      </w:r>
      <w:r w:rsidR="009D6727" w:rsidRPr="009D6727">
        <w:rPr>
          <w:rFonts w:ascii="Titillium" w:hAnsi="Titillium" w:cs="Titillium Web"/>
          <w:sz w:val="20"/>
          <w:szCs w:val="20"/>
          <w:vertAlign w:val="superscript"/>
        </w:rPr>
        <w:footnoteReference w:id="1"/>
      </w:r>
    </w:p>
    <w:p w14:paraId="39B5D360" w14:textId="29D32AB8" w:rsidR="00501D92" w:rsidRDefault="00170C1F" w:rsidP="00045158">
      <w:pPr>
        <w:tabs>
          <w:tab w:val="left" w:pos="142"/>
        </w:tabs>
        <w:spacing w:line="360" w:lineRule="auto"/>
        <w:jc w:val="both"/>
        <w:rPr>
          <w:rFonts w:ascii="Titillium" w:hAnsi="Titillium" w:cs="Titillium Web"/>
          <w:b/>
          <w:bCs/>
          <w:sz w:val="20"/>
          <w:szCs w:val="20"/>
          <w:u w:val="single"/>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w:t>
      </w:r>
      <w:r w:rsidR="00045158">
        <w:rPr>
          <w:rFonts w:ascii="Titillium" w:hAnsi="Titillium" w:cs="Titillium Web"/>
          <w:sz w:val="20"/>
          <w:szCs w:val="20"/>
        </w:rPr>
        <w:t>:</w:t>
      </w:r>
    </w:p>
    <w:p w14:paraId="601E1A26" w14:textId="7B4B25FB" w:rsidR="00B91ED9" w:rsidRPr="00045158" w:rsidRDefault="00B91ED9" w:rsidP="00045158">
      <w:pPr>
        <w:tabs>
          <w:tab w:val="left" w:pos="142"/>
        </w:tabs>
        <w:spacing w:line="360" w:lineRule="auto"/>
        <w:jc w:val="both"/>
        <w:rPr>
          <w:rFonts w:ascii="Titillium" w:hAnsi="Titillium" w:cs="Titillium Web"/>
          <w:b/>
          <w:bCs/>
          <w:i/>
          <w:iCs/>
          <w:sz w:val="20"/>
          <w:szCs w:val="20"/>
          <w:u w:val="single"/>
        </w:rPr>
      </w:pPr>
      <w:r w:rsidRPr="00045158">
        <w:rPr>
          <w:rFonts w:ascii="Titillium" w:hAnsi="Titillium"/>
          <w:b/>
          <w:bCs/>
          <w:i/>
          <w:iCs/>
          <w:sz w:val="20"/>
        </w:rPr>
        <w:t xml:space="preserve">Incompatibilità </w:t>
      </w:r>
      <w:r w:rsidR="002D61F7" w:rsidRPr="00045158">
        <w:rPr>
          <w:rFonts w:ascii="Titillium" w:hAnsi="Titillium"/>
          <w:b/>
          <w:bCs/>
          <w:i/>
          <w:iCs/>
          <w:sz w:val="20"/>
        </w:rPr>
        <w:t>con le</w:t>
      </w:r>
      <w:r w:rsidRPr="00045158">
        <w:rPr>
          <w:rFonts w:ascii="Titillium" w:hAnsi="Titillium"/>
          <w:b/>
          <w:bCs/>
          <w:i/>
          <w:iCs/>
          <w:sz w:val="20"/>
        </w:rPr>
        <w:t xml:space="preserve"> cariche di componenti degli organi di indirizzo nelle amministrazioni statali, regionali e locali</w:t>
      </w:r>
      <w:r w:rsidR="00501D92" w:rsidRPr="00045158">
        <w:rPr>
          <w:rFonts w:ascii="Titillium" w:hAnsi="Titillium"/>
          <w:b/>
          <w:bCs/>
          <w:i/>
          <w:iCs/>
          <w:sz w:val="20"/>
        </w:rPr>
        <w:t xml:space="preserve"> </w:t>
      </w:r>
      <w:r w:rsidR="00A21829" w:rsidRPr="003108E5">
        <w:rPr>
          <w:rFonts w:ascii="Titillium" w:hAnsi="Titillium"/>
          <w:b/>
          <w:bCs/>
          <w:i/>
          <w:iCs/>
          <w:color w:val="000000" w:themeColor="text1"/>
          <w:sz w:val="20"/>
        </w:rPr>
        <w:t>(</w:t>
      </w:r>
      <w:r w:rsidR="0062154C" w:rsidRPr="003108E5">
        <w:rPr>
          <w:rFonts w:ascii="Titillium" w:hAnsi="Titillium"/>
          <w:b/>
          <w:bCs/>
          <w:i/>
          <w:iCs/>
          <w:color w:val="000000" w:themeColor="text1"/>
          <w:sz w:val="20"/>
        </w:rPr>
        <w:t>si tenga conto de</w:t>
      </w:r>
      <w:r w:rsidR="00A21829" w:rsidRPr="003108E5">
        <w:rPr>
          <w:rFonts w:ascii="Titillium" w:hAnsi="Titillium"/>
          <w:b/>
          <w:bCs/>
          <w:i/>
          <w:iCs/>
          <w:color w:val="000000" w:themeColor="text1"/>
          <w:sz w:val="20"/>
        </w:rPr>
        <w:t xml:space="preserve">ll’esimente </w:t>
      </w:r>
      <w:r w:rsidR="00A21829">
        <w:rPr>
          <w:rFonts w:ascii="Titillium" w:hAnsi="Titillium"/>
          <w:b/>
          <w:bCs/>
          <w:i/>
          <w:iCs/>
          <w:sz w:val="20"/>
        </w:rPr>
        <w:t>di cui al</w:t>
      </w:r>
      <w:r w:rsidR="00430E8A" w:rsidRPr="00BC7732">
        <w:rPr>
          <w:rFonts w:ascii="Titillium" w:hAnsi="Titillium"/>
          <w:b/>
          <w:bCs/>
          <w:i/>
          <w:iCs/>
          <w:sz w:val="20"/>
        </w:rPr>
        <w:t>l’art. 12, comma 4 – bis</w:t>
      </w:r>
      <w:r w:rsidR="00430E8A" w:rsidRPr="00BC7732">
        <w:rPr>
          <w:rStyle w:val="Rimandonotaapidipagina"/>
          <w:rFonts w:ascii="Titillium" w:hAnsi="Titillium"/>
          <w:b/>
          <w:bCs/>
          <w:i/>
          <w:iCs/>
          <w:sz w:val="20"/>
        </w:rPr>
        <w:footnoteReference w:id="2"/>
      </w:r>
      <w:r w:rsidR="001A5726" w:rsidRPr="00BC7732">
        <w:rPr>
          <w:rFonts w:ascii="Titillium" w:hAnsi="Titillium"/>
          <w:b/>
          <w:bCs/>
          <w:i/>
          <w:iCs/>
          <w:sz w:val="20"/>
        </w:rPr>
        <w:t>,</w:t>
      </w:r>
      <w:r w:rsidR="00430E8A" w:rsidRPr="00BC7732">
        <w:rPr>
          <w:rFonts w:ascii="Titillium" w:hAnsi="Titillium"/>
          <w:b/>
          <w:bCs/>
          <w:i/>
          <w:iCs/>
          <w:sz w:val="20"/>
        </w:rPr>
        <w:t xml:space="preserve"> del d.lgs. n. 39/2013</w:t>
      </w:r>
      <w:r w:rsidR="00A21829">
        <w:rPr>
          <w:rFonts w:ascii="Titillium" w:hAnsi="Titillium"/>
          <w:b/>
          <w:bCs/>
          <w:i/>
          <w:iCs/>
          <w:sz w:val="20"/>
        </w:rPr>
        <w:t>)</w:t>
      </w:r>
    </w:p>
    <w:p w14:paraId="1AC66118" w14:textId="77777777" w:rsidR="00B91ED9" w:rsidRPr="00CE4FDF" w:rsidRDefault="00B91ED9" w:rsidP="002D61F7">
      <w:pPr>
        <w:pStyle w:val="Paragrafoelenco"/>
        <w:ind w:left="142"/>
        <w:jc w:val="both"/>
        <w:rPr>
          <w:rFonts w:ascii="Titillium" w:hAnsi="Titillium"/>
          <w:sz w:val="12"/>
          <w:szCs w:val="14"/>
        </w:rPr>
      </w:pPr>
    </w:p>
    <w:p w14:paraId="141F7967" w14:textId="01D4BA59" w:rsidR="006954A7" w:rsidRPr="003108E5" w:rsidRDefault="00170C1F" w:rsidP="003108E5">
      <w:pPr>
        <w:pStyle w:val="Paragrafoelenco"/>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3296" behindDoc="0" locked="0" layoutInCell="1" allowOverlap="1" wp14:anchorId="6D7B74BF" wp14:editId="343AA8EA">
                <wp:simplePos x="0" y="0"/>
                <wp:positionH relativeFrom="column">
                  <wp:posOffset>285750</wp:posOffset>
                </wp:positionH>
                <wp:positionV relativeFrom="paragraph">
                  <wp:posOffset>33020</wp:posOffset>
                </wp:positionV>
                <wp:extent cx="92075" cy="101600"/>
                <wp:effectExtent l="0" t="0" r="22225" b="12700"/>
                <wp:wrapNone/>
                <wp:docPr id="1370966151" name="Rettangolo 1370966151"/>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E3AB2" id="Rettangolo 1370966151" o:spid="_x0000_s1026" style="position:absolute;margin-left:22.5pt;margin-top:2.6pt;width:7.25pt;height:8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CE4FDF">
        <w:rPr>
          <w:rStyle w:val="Rimandonotaapidipagina"/>
          <w:rFonts w:ascii="Titillium" w:hAnsi="Titillium"/>
          <w:sz w:val="20"/>
        </w:rPr>
        <w:footnoteReference w:id="3"/>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14:paraId="5343665C" w14:textId="248D3235" w:rsidR="00501D92" w:rsidRPr="00CE4FDF" w:rsidRDefault="00501D92" w:rsidP="002D61F7">
      <w:pPr>
        <w:pStyle w:val="Paragrafoelenco"/>
        <w:jc w:val="both"/>
        <w:rPr>
          <w:rFonts w:ascii="Titillium" w:hAnsi="Titillium"/>
          <w:sz w:val="12"/>
          <w:szCs w:val="14"/>
        </w:rPr>
      </w:pPr>
    </w:p>
    <w:p w14:paraId="60D01E99" w14:textId="108A91BA" w:rsidR="0075022F" w:rsidRPr="003108E5" w:rsidRDefault="00170C1F" w:rsidP="003108E5">
      <w:pPr>
        <w:pStyle w:val="Paragrafoelenco"/>
        <w:numPr>
          <w:ilvl w:val="0"/>
          <w:numId w:val="39"/>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5344" behindDoc="0" locked="0" layoutInCell="1" allowOverlap="1" wp14:anchorId="411F383A" wp14:editId="65BCE741">
                <wp:simplePos x="0" y="0"/>
                <wp:positionH relativeFrom="column">
                  <wp:posOffset>285750</wp:posOffset>
                </wp:positionH>
                <wp:positionV relativeFrom="paragraph">
                  <wp:posOffset>33020</wp:posOffset>
                </wp:positionV>
                <wp:extent cx="92075" cy="101600"/>
                <wp:effectExtent l="0" t="0" r="22225" b="12700"/>
                <wp:wrapNone/>
                <wp:docPr id="1101825629" name="Rettangolo 110182562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E2BC4" id="Rettangolo 1101825629" o:spid="_x0000_s1026" style="position:absolute;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9B7899">
        <w:rPr>
          <w:rFonts w:ascii="Titillium" w:hAnsi="Titillium"/>
          <w:sz w:val="20"/>
        </w:rPr>
        <w:t xml:space="preserve"> </w:t>
      </w:r>
      <w:r w:rsidR="002D61F7">
        <w:rPr>
          <w:rStyle w:val="Rimandonotaapidipagina"/>
          <w:rFonts w:ascii="Titillium" w:hAnsi="Titillium"/>
          <w:sz w:val="20"/>
        </w:rPr>
        <w:footnoteReference w:id="4"/>
      </w:r>
      <w:r w:rsidR="00D97A61" w:rsidRPr="006A61AA">
        <w:rPr>
          <w:rFonts w:ascii="Titillium" w:hAnsi="Titillium"/>
          <w:sz w:val="20"/>
        </w:rPr>
        <w:t xml:space="preserve">, </w:t>
      </w:r>
      <w:r w:rsidR="00DB5F57" w:rsidRPr="006A61AA">
        <w:rPr>
          <w:rFonts w:ascii="Titillium" w:hAnsi="Titillium"/>
          <w:sz w:val="20"/>
        </w:rPr>
        <w:t>del d.lgs. n. 39/2013</w:t>
      </w:r>
      <w:r w:rsidR="000E3DEA">
        <w:rPr>
          <w:rFonts w:ascii="Titillium" w:hAnsi="Titillium"/>
          <w:sz w:val="20"/>
        </w:rPr>
        <w:t>;</w:t>
      </w:r>
    </w:p>
    <w:p w14:paraId="17DD8AEA" w14:textId="07749745" w:rsidR="00170A70" w:rsidRDefault="00170C1F" w:rsidP="00CE4FDF">
      <w:pPr>
        <w:pStyle w:val="Paragrafoelenco"/>
        <w:numPr>
          <w:ilvl w:val="0"/>
          <w:numId w:val="39"/>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7392" behindDoc="0" locked="0" layoutInCell="1" allowOverlap="1" wp14:anchorId="2F12B7E1" wp14:editId="7C250E5F">
                <wp:simplePos x="0" y="0"/>
                <wp:positionH relativeFrom="column">
                  <wp:posOffset>285750</wp:posOffset>
                </wp:positionH>
                <wp:positionV relativeFrom="paragraph">
                  <wp:posOffset>33020</wp:posOffset>
                </wp:positionV>
                <wp:extent cx="92075" cy="101600"/>
                <wp:effectExtent l="0" t="0" r="22225" b="12700"/>
                <wp:wrapNone/>
                <wp:docPr id="2112762860" name="Rettangolo 211276286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B506B" id="Rettangolo 2112762860" o:spid="_x0000_s1026" style="position:absolute;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5"/>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14:paraId="09DADC80" w14:textId="77777777" w:rsidR="00896CD8" w:rsidRPr="00896CD8" w:rsidRDefault="00896CD8" w:rsidP="00896CD8">
      <w:pPr>
        <w:pStyle w:val="Paragrafoelenco"/>
        <w:ind w:left="1069"/>
        <w:jc w:val="both"/>
        <w:rPr>
          <w:rFonts w:ascii="Titillium" w:hAnsi="Titillium"/>
          <w:b/>
          <w:bCs/>
          <w:i/>
          <w:iCs/>
          <w:sz w:val="12"/>
          <w:szCs w:val="14"/>
        </w:rPr>
      </w:pPr>
    </w:p>
    <w:p w14:paraId="1D92446B" w14:textId="6C733B71" w:rsidR="00D97A61" w:rsidRDefault="005A4365" w:rsidP="002D61F7">
      <w:pPr>
        <w:pStyle w:val="Paragrafoelenco"/>
        <w:ind w:left="709"/>
        <w:contextualSpacing w:val="0"/>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709440" behindDoc="0" locked="0" layoutInCell="1" allowOverlap="1" wp14:anchorId="463A9E9A" wp14:editId="01B78FBB">
                <wp:simplePos x="0" y="0"/>
                <wp:positionH relativeFrom="column">
                  <wp:posOffset>285750</wp:posOffset>
                </wp:positionH>
                <wp:positionV relativeFrom="paragraph">
                  <wp:posOffset>71120</wp:posOffset>
                </wp:positionV>
                <wp:extent cx="92075" cy="101600"/>
                <wp:effectExtent l="0" t="0" r="22225" b="12700"/>
                <wp:wrapNone/>
                <wp:docPr id="1882198538" name="Rettangolo 188219853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61043" id="Rettangolo 1882198538" o:spid="_x0000_s1026" style="position:absolute;margin-left:22.5pt;margin-top:5.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" fillcolor="window" strokecolor="#385d8a" strokeweight="2pt"/>
            </w:pict>
          </mc:Fallback>
        </mc:AlternateContent>
      </w:r>
      <w:r w:rsidR="00170C1F" w:rsidRPr="00170C1F">
        <w:rPr>
          <w:rFonts w:ascii="Titillium" w:hAnsi="Titillium"/>
          <w:sz w:val="20"/>
        </w:rPr>
        <w:t xml:space="preserve">Insussistenza </w:t>
      </w:r>
      <w:r w:rsidR="00170C1F">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6"/>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 xml:space="preserve">di livello </w:t>
      </w:r>
      <w:r w:rsidR="00DB5F57" w:rsidRPr="00DB5F57">
        <w:rPr>
          <w:rFonts w:ascii="Titillium" w:hAnsi="Titillium"/>
          <w:sz w:val="20"/>
        </w:rPr>
        <w:t>provinciale o comunale</w:t>
      </w:r>
      <w:r w:rsidR="00D97A61" w:rsidRPr="006A61AA">
        <w:rPr>
          <w:rFonts w:ascii="Titillium" w:hAnsi="Titillium"/>
          <w:sz w:val="20"/>
        </w:rPr>
        <w:t xml:space="preserve"> del d.lgs. n. 39/2013</w:t>
      </w:r>
      <w:r>
        <w:rPr>
          <w:rFonts w:ascii="Titillium" w:hAnsi="Titillium"/>
          <w:sz w:val="20"/>
        </w:rPr>
        <w:t>.</w:t>
      </w:r>
    </w:p>
    <w:p w14:paraId="303FF19B" w14:textId="77777777" w:rsidR="00896CD8" w:rsidRPr="00CE4FDF" w:rsidRDefault="00896CD8" w:rsidP="002D61F7">
      <w:pPr>
        <w:pStyle w:val="Paragrafoelenco"/>
        <w:ind w:left="709"/>
        <w:contextualSpacing w:val="0"/>
        <w:jc w:val="both"/>
        <w:rPr>
          <w:rFonts w:ascii="Titillium" w:hAnsi="Titillium"/>
          <w:sz w:val="12"/>
          <w:szCs w:val="14"/>
        </w:rPr>
      </w:pPr>
    </w:p>
    <w:p w14:paraId="2BCDD1DB" w14:textId="76E85735" w:rsidR="00095A1A" w:rsidRPr="009B7899" w:rsidRDefault="006A61AA" w:rsidP="00184463">
      <w:pPr>
        <w:tabs>
          <w:tab w:val="left" w:pos="0"/>
          <w:tab w:val="left" w:pos="142"/>
        </w:tabs>
        <w:spacing w:line="360" w:lineRule="auto"/>
        <w:jc w:val="center"/>
        <w:rPr>
          <w:rFonts w:ascii="Titillium" w:hAnsi="Titillium" w:cs="Titillium Web"/>
          <w:b/>
          <w:bCs/>
          <w:sz w:val="20"/>
          <w:szCs w:val="20"/>
        </w:rPr>
      </w:pPr>
      <w:r w:rsidRPr="009B7899">
        <w:rPr>
          <w:rFonts w:ascii="Titillium" w:hAnsi="Titillium" w:cs="Titillium Web"/>
          <w:b/>
          <w:bCs/>
          <w:sz w:val="20"/>
          <w:szCs w:val="20"/>
        </w:rPr>
        <w:t>DICHIARA ALTRESI’</w:t>
      </w:r>
    </w:p>
    <w:p w14:paraId="11F87D80" w14:textId="7A918B17" w:rsidR="00A43279" w:rsidRPr="00BC7732"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w:t>
      </w:r>
      <w:r w:rsidR="009B7899">
        <w:rPr>
          <w:rFonts w:ascii="Titillium" w:hAnsi="Titillium"/>
          <w:sz w:val="20"/>
          <w:szCs w:val="20"/>
        </w:rPr>
        <w:t>d</w:t>
      </w:r>
      <w:r w:rsidRPr="006E1AC5">
        <w:rPr>
          <w:rFonts w:ascii="Titillium" w:hAnsi="Titillium"/>
          <w:sz w:val="20"/>
          <w:szCs w:val="20"/>
        </w:rPr>
        <w:t xml:space="preserve">.lgs. n. 39/2013, la presente </w:t>
      </w:r>
      <w:r w:rsidRPr="00BC7732">
        <w:rPr>
          <w:rFonts w:ascii="Titillium" w:hAnsi="Titillium"/>
          <w:sz w:val="20"/>
          <w:szCs w:val="20"/>
        </w:rPr>
        <w:t xml:space="preserve">dichiarazione verrà pubblicata sul sito istituzionale </w:t>
      </w:r>
      <w:r w:rsidR="006A61AA" w:rsidRPr="00BC7732">
        <w:rPr>
          <w:rFonts w:ascii="Titillium" w:hAnsi="Titillium"/>
          <w:sz w:val="20"/>
          <w:szCs w:val="20"/>
        </w:rPr>
        <w:t>dell’ente, nell’apposita sezione “</w:t>
      </w:r>
      <w:r w:rsidRPr="00BC7732">
        <w:rPr>
          <w:rFonts w:ascii="Titillium" w:hAnsi="Titillium"/>
          <w:sz w:val="20"/>
          <w:szCs w:val="20"/>
        </w:rPr>
        <w:t>Amministrazione Trasparente</w:t>
      </w:r>
      <w:r w:rsidR="006A61AA" w:rsidRPr="00BC7732">
        <w:rPr>
          <w:rFonts w:ascii="Titillium" w:hAnsi="Titillium"/>
          <w:sz w:val="20"/>
          <w:szCs w:val="20"/>
        </w:rPr>
        <w:t>”</w:t>
      </w:r>
      <w:r w:rsidR="009B7899">
        <w:rPr>
          <w:rFonts w:ascii="Titillium" w:hAnsi="Titillium"/>
          <w:sz w:val="20"/>
          <w:szCs w:val="20"/>
        </w:rPr>
        <w:t xml:space="preserve"> </w:t>
      </w:r>
      <w:r w:rsidR="009B7899">
        <w:rPr>
          <w:rStyle w:val="Rimandonotaapidipagina"/>
          <w:rFonts w:ascii="Titillium" w:hAnsi="Titillium"/>
          <w:sz w:val="20"/>
          <w:szCs w:val="20"/>
        </w:rPr>
        <w:footnoteReference w:id="7"/>
      </w:r>
      <w:r w:rsidRPr="00BC7732">
        <w:rPr>
          <w:rFonts w:ascii="Titillium" w:hAnsi="Titillium"/>
          <w:sz w:val="20"/>
          <w:szCs w:val="20"/>
        </w:rPr>
        <w:t>.</w:t>
      </w:r>
    </w:p>
    <w:p w14:paraId="270AD316" w14:textId="32018CBE" w:rsidR="007349D1" w:rsidRPr="007349D1" w:rsidRDefault="00184463" w:rsidP="007349D1">
      <w:pPr>
        <w:jc w:val="both"/>
        <w:rPr>
          <w:rFonts w:ascii="Titillium" w:hAnsi="Titillium"/>
          <w:sz w:val="20"/>
          <w:szCs w:val="20"/>
        </w:rPr>
      </w:pPr>
      <w:bookmarkStart w:id="3" w:name="_Hlk200102237"/>
      <w:r w:rsidRPr="00BC7732">
        <w:rPr>
          <w:rFonts w:ascii="Titillium" w:hAnsi="Titillium"/>
          <w:sz w:val="20"/>
          <w:szCs w:val="20"/>
        </w:rPr>
        <w:t>Il/La sottoscritto/a si impegna altresì</w:t>
      </w:r>
      <w:r w:rsidR="001E5ABB" w:rsidRPr="00BC7732">
        <w:rPr>
          <w:rFonts w:ascii="Titillium" w:hAnsi="Titillium"/>
          <w:sz w:val="20"/>
          <w:szCs w:val="20"/>
        </w:rPr>
        <w:t xml:space="preserve"> a comunicare tempestivamente eventuali variazioni del contenu</w:t>
      </w:r>
      <w:r w:rsidR="00203938" w:rsidRPr="00BC7732">
        <w:rPr>
          <w:rFonts w:ascii="Titillium" w:hAnsi="Titillium"/>
          <w:sz w:val="20"/>
          <w:szCs w:val="20"/>
        </w:rPr>
        <w:t>to della presente dichiarazione</w:t>
      </w:r>
      <w:r w:rsidR="007349D1" w:rsidRPr="00BC7732">
        <w:rPr>
          <w:rFonts w:ascii="Titillium" w:hAnsi="Titillium"/>
          <w:sz w:val="20"/>
          <w:szCs w:val="20"/>
        </w:rPr>
        <w:t xml:space="preserve"> ed è a conoscenza che l’ente ricevente la presente dichiarazione è tenuto a effettuare i controlli e gli accertamenti previsti dalla disciplina vigente in ordine alla relativa </w:t>
      </w:r>
      <w:r w:rsidR="007349D1" w:rsidRPr="003108E5">
        <w:rPr>
          <w:rFonts w:ascii="Titillium" w:hAnsi="Titillium"/>
          <w:sz w:val="20"/>
          <w:szCs w:val="20"/>
        </w:rPr>
        <w:t>veridicità, anche tramite acquisizione di informazioni sulle iscrizioni esistenti nel casellario giudiziale.</w:t>
      </w:r>
    </w:p>
    <w:bookmarkEnd w:id="3"/>
    <w:p w14:paraId="2B256CCD" w14:textId="77777777" w:rsidR="00BD6D9B" w:rsidRPr="006E1AC5" w:rsidRDefault="00BD6D9B" w:rsidP="00C0653D">
      <w:pPr>
        <w:spacing w:line="360" w:lineRule="auto"/>
        <w:jc w:val="both"/>
        <w:rPr>
          <w:rFonts w:ascii="Titillium" w:hAnsi="Titillium" w:cs="Titillium Web"/>
          <w:sz w:val="20"/>
          <w:szCs w:val="20"/>
        </w:rPr>
      </w:pPr>
    </w:p>
    <w:p w14:paraId="55CBBE80" w14:textId="3D4AF00D"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r w:rsidR="0021744D">
        <w:rPr>
          <w:rFonts w:ascii="Titillium" w:hAnsi="Titillium" w:cs="Titillium Web"/>
          <w:sz w:val="20"/>
          <w:szCs w:val="20"/>
        </w:rPr>
        <w:t xml:space="preserve">                                                                                                                              Firma</w:t>
      </w:r>
    </w:p>
    <w:p w14:paraId="3FA8AC7F" w14:textId="77777777" w:rsidR="007349D1" w:rsidRPr="00030385" w:rsidRDefault="007349D1" w:rsidP="00030385">
      <w:pPr>
        <w:spacing w:line="360" w:lineRule="auto"/>
        <w:ind w:left="6521" w:hanging="6521"/>
        <w:jc w:val="both"/>
        <w:rPr>
          <w:rFonts w:ascii="Titillium" w:hAnsi="Titillium"/>
          <w:sz w:val="20"/>
          <w:szCs w:val="20"/>
        </w:rPr>
      </w:pPr>
      <w:bookmarkStart w:id="4" w:name="_Hlk200104604"/>
    </w:p>
    <w:p w14:paraId="3221D991" w14:textId="77777777" w:rsidR="007C34CE" w:rsidRDefault="007C34CE" w:rsidP="00030385">
      <w:pPr>
        <w:spacing w:line="360" w:lineRule="auto"/>
        <w:ind w:left="6521" w:hanging="6521"/>
        <w:jc w:val="both"/>
        <w:rPr>
          <w:rFonts w:ascii="Titillium" w:hAnsi="Titillium"/>
          <w:sz w:val="20"/>
          <w:szCs w:val="20"/>
        </w:rPr>
      </w:pPr>
    </w:p>
    <w:p w14:paraId="55ADC9F3" w14:textId="77777777" w:rsidR="007C34CE" w:rsidRDefault="007C34CE" w:rsidP="00030385">
      <w:pPr>
        <w:spacing w:line="360" w:lineRule="auto"/>
        <w:ind w:left="6521" w:hanging="6521"/>
        <w:jc w:val="both"/>
        <w:rPr>
          <w:rFonts w:ascii="Titillium" w:hAnsi="Titillium"/>
          <w:sz w:val="20"/>
          <w:szCs w:val="20"/>
        </w:rPr>
      </w:pPr>
    </w:p>
    <w:p w14:paraId="55C17740" w14:textId="77777777" w:rsidR="007C34CE" w:rsidRDefault="007C34CE" w:rsidP="00030385">
      <w:pPr>
        <w:spacing w:line="360" w:lineRule="auto"/>
        <w:ind w:left="6521" w:hanging="6521"/>
        <w:jc w:val="both"/>
        <w:rPr>
          <w:rFonts w:ascii="Titillium" w:hAnsi="Titillium"/>
          <w:sz w:val="20"/>
          <w:szCs w:val="20"/>
        </w:rPr>
      </w:pPr>
    </w:p>
    <w:p w14:paraId="3BF5068D" w14:textId="77777777" w:rsidR="007C34CE" w:rsidRDefault="007C34CE" w:rsidP="00030385">
      <w:pPr>
        <w:spacing w:line="360" w:lineRule="auto"/>
        <w:ind w:left="6521" w:hanging="6521"/>
        <w:jc w:val="both"/>
        <w:rPr>
          <w:rFonts w:ascii="Titillium" w:hAnsi="Titillium"/>
          <w:sz w:val="20"/>
          <w:szCs w:val="20"/>
        </w:rPr>
      </w:pPr>
    </w:p>
    <w:p w14:paraId="70498813" w14:textId="7A08BAD9" w:rsidR="00030385" w:rsidRPr="00030385" w:rsidRDefault="00030385" w:rsidP="00030385">
      <w:pPr>
        <w:spacing w:line="360" w:lineRule="auto"/>
        <w:ind w:left="6521" w:hanging="6521"/>
        <w:jc w:val="both"/>
        <w:rPr>
          <w:rFonts w:ascii="Titillium" w:hAnsi="Titillium"/>
          <w:sz w:val="20"/>
          <w:szCs w:val="20"/>
        </w:rPr>
      </w:pPr>
      <w:r w:rsidRPr="00030385">
        <w:rPr>
          <w:rFonts w:ascii="Titillium" w:hAnsi="Titillium"/>
          <w:sz w:val="20"/>
          <w:szCs w:val="20"/>
        </w:rPr>
        <w:t>La versione originale del documento è depositata presso l’Ufficio</w:t>
      </w:r>
    </w:p>
    <w:bookmarkEnd w:id="4"/>
    <w:p w14:paraId="3723A276" w14:textId="77777777" w:rsidR="008F74CA" w:rsidRPr="00691E8A" w:rsidRDefault="008F74CA" w:rsidP="009B7899">
      <w:pPr>
        <w:spacing w:line="360" w:lineRule="auto"/>
        <w:jc w:val="both"/>
        <w:rPr>
          <w:rFonts w:ascii="Titillium" w:hAnsi="Titillium" w:cs="Titillium Web"/>
          <w:sz w:val="20"/>
          <w:szCs w:val="20"/>
        </w:rPr>
      </w:pPr>
    </w:p>
    <w:sectPr w:rsidR="008F74CA" w:rsidRPr="00691E8A"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2D48" w14:textId="77777777" w:rsidR="00C72A17" w:rsidRDefault="00C72A17" w:rsidP="001A58E6">
      <w:pPr>
        <w:spacing w:after="0" w:line="240" w:lineRule="auto"/>
      </w:pPr>
      <w:r>
        <w:separator/>
      </w:r>
    </w:p>
  </w:endnote>
  <w:endnote w:type="continuationSeparator" w:id="0">
    <w:p w14:paraId="2CAB592B" w14:textId="77777777" w:rsidR="00C72A17" w:rsidRDefault="00C72A17" w:rsidP="001A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Liberation Mono"/>
    <w:panose1 w:val="000005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8501" w14:textId="77777777" w:rsidR="008E2D69" w:rsidRDefault="008E2D69" w:rsidP="00C0653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19A9" w14:textId="77777777" w:rsidR="00C72A17" w:rsidRDefault="00C72A17" w:rsidP="001A58E6">
      <w:pPr>
        <w:spacing w:after="0" w:line="240" w:lineRule="auto"/>
      </w:pPr>
      <w:r>
        <w:separator/>
      </w:r>
    </w:p>
  </w:footnote>
  <w:footnote w:type="continuationSeparator" w:id="0">
    <w:p w14:paraId="5D57DB1D" w14:textId="77777777" w:rsidR="00C72A17" w:rsidRDefault="00C72A17" w:rsidP="001A58E6">
      <w:pPr>
        <w:spacing w:after="0" w:line="240" w:lineRule="auto"/>
      </w:pPr>
      <w:r>
        <w:continuationSeparator/>
      </w:r>
    </w:p>
  </w:footnote>
  <w:footnote w:id="1">
    <w:p w14:paraId="24F46C9F" w14:textId="7E022B24" w:rsidR="009D6727" w:rsidRPr="007B50E1" w:rsidRDefault="009D6727" w:rsidP="009D6727">
      <w:pPr>
        <w:pStyle w:val="Testonotaapidipagina"/>
        <w:ind w:left="284"/>
        <w:jc w:val="both"/>
        <w:rPr>
          <w:i/>
          <w:sz w:val="16"/>
        </w:rPr>
      </w:pPr>
      <w:r>
        <w:rPr>
          <w:rStyle w:val="Rimandonotaapidipagina"/>
        </w:rPr>
        <w:footnoteRef/>
      </w:r>
      <w:r>
        <w:t xml:space="preserve"> </w:t>
      </w:r>
      <w:r>
        <w:rPr>
          <w:b/>
          <w:sz w:val="16"/>
        </w:rPr>
        <w:t>Art. 20, comma 2</w:t>
      </w:r>
      <w:r w:rsidR="009B7899">
        <w:rPr>
          <w:b/>
          <w:sz w:val="16"/>
        </w:rPr>
        <w:t>:</w:t>
      </w:r>
      <w:r>
        <w:rPr>
          <w:b/>
          <w:sz w:val="16"/>
        </w:rPr>
        <w:t xml:space="preserve"> </w:t>
      </w:r>
      <w:r>
        <w:rPr>
          <w:sz w:val="16"/>
        </w:rPr>
        <w:t>“</w:t>
      </w:r>
      <w:r>
        <w:rPr>
          <w:i/>
          <w:sz w:val="16"/>
        </w:rPr>
        <w:t>Nel corso dell’incarico l’interessato presenta annualmente una dichiarazione sulla insussistenza di una delle cause di incompatibilità di cui al presente decreto</w:t>
      </w:r>
      <w:r w:rsidR="00DB0AC8">
        <w:rPr>
          <w:i/>
          <w:sz w:val="16"/>
        </w:rPr>
        <w:t>”</w:t>
      </w:r>
    </w:p>
    <w:p w14:paraId="4FF7E75A" w14:textId="77777777" w:rsidR="009D6727" w:rsidRPr="007B50E1" w:rsidRDefault="009D6727" w:rsidP="009D6727">
      <w:pPr>
        <w:pStyle w:val="Testonotaapidipagina"/>
        <w:ind w:left="644"/>
        <w:jc w:val="both"/>
        <w:rPr>
          <w:i/>
          <w:sz w:val="16"/>
        </w:rPr>
      </w:pPr>
    </w:p>
  </w:footnote>
  <w:footnote w:id="2">
    <w:p w14:paraId="61624802" w14:textId="76455E9F" w:rsidR="00430E8A" w:rsidRDefault="00430E8A" w:rsidP="00430E8A">
      <w:pPr>
        <w:pStyle w:val="Testonotaapidipagina"/>
        <w:ind w:left="284"/>
        <w:rPr>
          <w:rFonts w:eastAsia="Times New Roman"/>
          <w:i/>
          <w:sz w:val="16"/>
          <w:lang w:eastAsia="it-IT"/>
        </w:rPr>
      </w:pPr>
      <w:r>
        <w:rPr>
          <w:rStyle w:val="Rimandonotaapidipagina"/>
        </w:rPr>
        <w:footnoteRef/>
      </w:r>
      <w:r>
        <w:t xml:space="preserve"> </w:t>
      </w:r>
      <w:r w:rsidRPr="000E3DEA">
        <w:rPr>
          <w:b/>
          <w:sz w:val="16"/>
        </w:rPr>
        <w:t>Art.</w:t>
      </w:r>
      <w:r w:rsidRPr="000E3DEA">
        <w:rPr>
          <w:rFonts w:ascii="Calibri" w:hAnsi="Calibri" w:cs="Calibri"/>
          <w:b/>
          <w:sz w:val="16"/>
        </w:rPr>
        <w:t> </w:t>
      </w:r>
      <w:r w:rsidRPr="000E3DEA">
        <w:rPr>
          <w:b/>
          <w:sz w:val="16"/>
        </w:rPr>
        <w:t>12</w:t>
      </w:r>
      <w:r>
        <w:rPr>
          <w:b/>
          <w:sz w:val="16"/>
        </w:rPr>
        <w:t>, comma 4 – bis</w:t>
      </w:r>
      <w:r w:rsidR="009B7899">
        <w:rPr>
          <w:b/>
          <w:sz w:val="16"/>
        </w:rPr>
        <w:t>:</w:t>
      </w:r>
      <w:r>
        <w:rPr>
          <w:b/>
          <w:sz w:val="16"/>
        </w:rPr>
        <w:t xml:space="preserve"> “</w:t>
      </w:r>
      <w:r w:rsidRPr="00FA0C50">
        <w:rPr>
          <w:rFonts w:eastAsia="Times New Roman"/>
          <w:i/>
          <w:sz w:val="16"/>
          <w:lang w:eastAsia="it-IT"/>
        </w:rPr>
        <w:t xml:space="preserve">Le incompatibilità di cui al presente articolo </w:t>
      </w:r>
      <w:r w:rsidRPr="00A21829">
        <w:rPr>
          <w:rFonts w:eastAsia="Times New Roman"/>
          <w:b/>
          <w:bCs/>
          <w:i/>
          <w:sz w:val="16"/>
          <w:lang w:eastAsia="it-IT"/>
        </w:rPr>
        <w:t>non si applicano</w:t>
      </w:r>
      <w:r w:rsidRPr="00FA0C50">
        <w:rPr>
          <w:rFonts w:eastAsia="Times New Roman"/>
          <w:i/>
          <w:sz w:val="16"/>
          <w:lang w:eastAsia="it-IT"/>
        </w:rPr>
        <w:t xml:space="preserve"> ai dipendenti di ruolo di livello dirigenziale della stessa amministrazione, ente pubblico o ente di diritto privato in controllo pubblico che conferisce l’incarico</w:t>
      </w:r>
      <w:r>
        <w:rPr>
          <w:rFonts w:eastAsia="Times New Roman"/>
          <w:i/>
          <w:sz w:val="16"/>
          <w:lang w:eastAsia="it-IT"/>
        </w:rPr>
        <w:t>”</w:t>
      </w:r>
    </w:p>
    <w:p w14:paraId="7D741D12" w14:textId="77777777" w:rsidR="009B7899" w:rsidRDefault="009B7899" w:rsidP="00430E8A">
      <w:pPr>
        <w:pStyle w:val="Testonotaapidipagina"/>
        <w:ind w:left="284"/>
      </w:pPr>
    </w:p>
  </w:footnote>
  <w:footnote w:id="3">
    <w:p w14:paraId="1F64E7EB" w14:textId="6305885D" w:rsidR="00CE4FDF" w:rsidRPr="000E3DEA" w:rsidRDefault="00CE4FDF" w:rsidP="00CE4FDF">
      <w:pPr>
        <w:pStyle w:val="Testonotaapidipagina"/>
        <w:tabs>
          <w:tab w:val="clear" w:pos="284"/>
        </w:tabs>
        <w:ind w:left="284"/>
        <w:jc w:val="both"/>
        <w:rPr>
          <w:i/>
          <w:sz w:val="16"/>
        </w:rPr>
      </w:pP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0" w:name="12"/>
      <w:r w:rsidRPr="000E3DEA">
        <w:rPr>
          <w:b/>
          <w:sz w:val="16"/>
        </w:rPr>
        <w:t>12</w:t>
      </w:r>
      <w:bookmarkEnd w:id="0"/>
      <w:r>
        <w:rPr>
          <w:b/>
          <w:sz w:val="16"/>
        </w:rPr>
        <w:t>, comma 1</w:t>
      </w:r>
      <w:r w:rsidR="009B7899">
        <w:rPr>
          <w:b/>
          <w:sz w:val="16"/>
        </w:rPr>
        <w:t>:</w:t>
      </w:r>
      <w:r>
        <w:rPr>
          <w:b/>
          <w:sz w:val="16"/>
        </w:rPr>
        <w:t xml:space="preserve"> “</w:t>
      </w:r>
      <w:r w:rsidRPr="007C0B65">
        <w:rPr>
          <w:b/>
          <w:bCs/>
          <w:i/>
          <w:sz w:val="16"/>
        </w:rPr>
        <w:t xml:space="preserve">Gli incarichi dirigenziali, interni e esterni, </w:t>
      </w:r>
      <w:r w:rsidRPr="00045158">
        <w:rPr>
          <w:i/>
          <w:sz w:val="16"/>
        </w:rPr>
        <w:t>nelle pubbliche amministrazioni,</w:t>
      </w:r>
      <w:r w:rsidRPr="000E3DEA">
        <w:rPr>
          <w:i/>
          <w:sz w:val="16"/>
        </w:rPr>
        <w:t xml:space="preserve">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7C0B65">
        <w:rPr>
          <w:i/>
          <w:sz w:val="16"/>
        </w:rPr>
        <w:t>nello stesso ente di diritto privato in controllo pubblico</w:t>
      </w:r>
      <w:r w:rsidRPr="000E3DEA">
        <w:rPr>
          <w:i/>
          <w:sz w:val="16"/>
        </w:rPr>
        <w:t xml:space="preserve"> che ha conferito l'incar</w:t>
      </w:r>
      <w:r>
        <w:rPr>
          <w:i/>
          <w:sz w:val="16"/>
        </w:rPr>
        <w:t>ico”</w:t>
      </w:r>
    </w:p>
    <w:p w14:paraId="7D21DF5C" w14:textId="77777777" w:rsidR="00CE4FDF" w:rsidRDefault="00CE4FDF" w:rsidP="00CE4FDF">
      <w:pPr>
        <w:pStyle w:val="Testonotaapidipagina"/>
        <w:jc w:val="both"/>
      </w:pPr>
    </w:p>
  </w:footnote>
  <w:footnote w:id="4">
    <w:p w14:paraId="126B8E71" w14:textId="664D34C5"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9B7899">
        <w:rPr>
          <w:b/>
          <w:iCs/>
          <w:sz w:val="16"/>
        </w:rPr>
        <w:t>:</w:t>
      </w:r>
      <w:r w:rsidRPr="00337A8F">
        <w:rPr>
          <w:i/>
          <w:sz w:val="16"/>
        </w:rPr>
        <w:t xml:space="preserve"> </w:t>
      </w:r>
      <w:r>
        <w:rPr>
          <w:i/>
          <w:sz w:val="16"/>
        </w:rPr>
        <w:t>“</w:t>
      </w:r>
      <w:r w:rsidRPr="007C0B65">
        <w:rPr>
          <w:b/>
          <w:bCs/>
          <w:i/>
          <w:sz w:val="16"/>
        </w:rPr>
        <w:t xml:space="preserve">Gli incarichi dirigenziali, interni e esterni, </w:t>
      </w:r>
      <w:r w:rsidRPr="00045158">
        <w:rPr>
          <w:i/>
          <w:sz w:val="16"/>
        </w:rPr>
        <w:t>nelle pubbliche amministrazioni</w:t>
      </w:r>
      <w:r w:rsidRPr="00337A8F">
        <w:rPr>
          <w:i/>
          <w:sz w:val="16"/>
        </w:rPr>
        <w:t xml:space="preserve">, negli enti pubblici e </w:t>
      </w:r>
      <w:r w:rsidRPr="007C0B65">
        <w:rPr>
          <w:i/>
          <w:sz w:val="16"/>
        </w:rPr>
        <w:t>negli enti di diritto privato</w:t>
      </w:r>
      <w:r w:rsidRPr="001816E3">
        <w:rPr>
          <w:b/>
          <w:i/>
          <w:sz w:val="16"/>
        </w:rPr>
        <w:t xml:space="preserve"> </w:t>
      </w:r>
      <w:r w:rsidRPr="007C0B65">
        <w:rPr>
          <w:bCs/>
          <w:i/>
          <w:sz w:val="16"/>
        </w:rPr>
        <w:t xml:space="preserve">in controllo pubblico di </w:t>
      </w:r>
      <w:r w:rsidRPr="007C0B65">
        <w:rPr>
          <w:b/>
          <w:i/>
          <w:sz w:val="16"/>
        </w:rPr>
        <w:t xml:space="preserve">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DB0AC8">
        <w:rPr>
          <w:i/>
          <w:sz w:val="16"/>
        </w:rPr>
        <w:t>”</w:t>
      </w:r>
    </w:p>
    <w:p w14:paraId="3094B0B0" w14:textId="43444E68" w:rsidR="002D61F7" w:rsidRDefault="002D61F7" w:rsidP="0075022F">
      <w:pPr>
        <w:pStyle w:val="Testonotaapidipagina"/>
        <w:ind w:left="284"/>
        <w:jc w:val="both"/>
      </w:pPr>
    </w:p>
  </w:footnote>
  <w:footnote w:id="5">
    <w:p w14:paraId="04C8A97F" w14:textId="640102E8"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Pr="00337A8F">
        <w:rPr>
          <w:i/>
          <w:sz w:val="16"/>
        </w:rPr>
        <w:t xml:space="preserve"> </w:t>
      </w:r>
      <w:r w:rsidR="0075022F">
        <w:rPr>
          <w:i/>
          <w:sz w:val="16"/>
        </w:rPr>
        <w:t>“</w:t>
      </w:r>
      <w:r w:rsidRPr="007C0B65">
        <w:rPr>
          <w:b/>
          <w:bCs/>
          <w:i/>
          <w:sz w:val="16"/>
        </w:rPr>
        <w:t xml:space="preserve">Gli incarichi dirigenziali, interni e esterni, </w:t>
      </w:r>
      <w:r w:rsidRPr="00045158">
        <w:rPr>
          <w:i/>
          <w:sz w:val="16"/>
        </w:rPr>
        <w:t>nelle pubbliche amministrazioni</w:t>
      </w:r>
      <w:r w:rsidRPr="00337A8F">
        <w:rPr>
          <w:i/>
          <w:sz w:val="16"/>
        </w:rPr>
        <w:t xml:space="preserve">, negli enti pubblici e negli </w:t>
      </w:r>
      <w:r w:rsidRPr="007C0B65">
        <w:rPr>
          <w:bCs/>
          <w:i/>
          <w:sz w:val="16"/>
        </w:rPr>
        <w:t>enti di diritto privato in controllo pubblico</w:t>
      </w:r>
      <w:r w:rsidRPr="001816E3">
        <w:rPr>
          <w:b/>
          <w:i/>
          <w:sz w:val="16"/>
        </w:rPr>
        <w:t xml:space="preserve"> di livello regionale</w:t>
      </w:r>
      <w:r w:rsidRPr="00337A8F">
        <w:rPr>
          <w:i/>
          <w:sz w:val="16"/>
        </w:rPr>
        <w:t xml:space="preserve"> sono incompatibili:</w:t>
      </w:r>
      <w:r w:rsidR="00CE4FDF">
        <w:rPr>
          <w:i/>
          <w:sz w:val="16"/>
        </w:rPr>
        <w:t xml:space="preserve"> </w:t>
      </w:r>
      <w:r w:rsidRPr="00337A8F">
        <w:rPr>
          <w:i/>
          <w:sz w:val="16"/>
        </w:rPr>
        <w:t>a) con la carica di componente della giunta o del consiglio della regione interessata;</w:t>
      </w:r>
      <w:r w:rsidR="00CE4FDF">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CE4FDF">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DB0AC8">
        <w:rPr>
          <w:i/>
          <w:sz w:val="16"/>
        </w:rPr>
        <w:t>”</w:t>
      </w:r>
    </w:p>
    <w:p w14:paraId="1E816CEB" w14:textId="211B2AF4" w:rsidR="002D61F7" w:rsidRDefault="002D61F7" w:rsidP="0075022F">
      <w:pPr>
        <w:pStyle w:val="Testonotaapidipagina"/>
        <w:ind w:hanging="1417"/>
        <w:jc w:val="both"/>
      </w:pPr>
    </w:p>
  </w:footnote>
  <w:footnote w:id="6">
    <w:p w14:paraId="551E044B" w14:textId="4EB487D2" w:rsidR="0075022F" w:rsidRPr="00203938" w:rsidRDefault="0075022F" w:rsidP="00CE4FD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Pr="0075022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203938">
        <w:rPr>
          <w:i/>
          <w:sz w:val="16"/>
        </w:rPr>
        <w:t xml:space="preserve">negli enti di diritto privato in controllo pubblico </w:t>
      </w:r>
      <w:r w:rsidRPr="007C0B65">
        <w:rPr>
          <w:b/>
          <w:bCs/>
          <w:i/>
          <w:sz w:val="16"/>
        </w:rPr>
        <w:t>di livello provinciale o comunale</w:t>
      </w:r>
      <w:r w:rsidRPr="00203938">
        <w:rPr>
          <w:i/>
          <w:sz w:val="16"/>
        </w:rPr>
        <w:t xml:space="preserve"> sono incompatibili:</w:t>
      </w:r>
      <w:r w:rsidR="00CE4FDF">
        <w:rPr>
          <w:i/>
          <w:sz w:val="16"/>
        </w:rPr>
        <w:t xml:space="preserve"> </w:t>
      </w:r>
      <w:r w:rsidRPr="00203938">
        <w:rPr>
          <w:i/>
          <w:sz w:val="16"/>
        </w:rPr>
        <w:t>a) con la carica di componente della giunta o del consiglio della regione;</w:t>
      </w:r>
      <w:r w:rsidR="00CE4FDF">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CE4FDF">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sidR="00DB0AC8">
        <w:rPr>
          <w:i/>
          <w:sz w:val="16"/>
        </w:rPr>
        <w:t>”</w:t>
      </w:r>
    </w:p>
    <w:p w14:paraId="7B979E0A" w14:textId="77777777" w:rsidR="0075022F" w:rsidRPr="00337A8F" w:rsidRDefault="0075022F" w:rsidP="0075022F">
      <w:pPr>
        <w:pStyle w:val="Testonotaapidipagina"/>
        <w:ind w:left="709"/>
        <w:rPr>
          <w:i/>
          <w:sz w:val="18"/>
        </w:rPr>
      </w:pPr>
    </w:p>
    <w:p w14:paraId="2CEE3A57" w14:textId="0296DBF3" w:rsidR="0075022F" w:rsidRDefault="0075022F" w:rsidP="0075022F">
      <w:pPr>
        <w:pStyle w:val="Testonotaapidipagina"/>
        <w:ind w:left="567" w:hanging="283"/>
      </w:pPr>
    </w:p>
  </w:footnote>
  <w:footnote w:id="7">
    <w:p w14:paraId="53F2C618" w14:textId="01B7D9F8" w:rsidR="009B7899" w:rsidRDefault="009B7899" w:rsidP="009B7899">
      <w:pPr>
        <w:pStyle w:val="Testonotaapidipagina"/>
        <w:ind w:left="284"/>
      </w:pPr>
      <w:r w:rsidRPr="00FB730E">
        <w:rPr>
          <w:rStyle w:val="Rimandonotaapidipagina"/>
        </w:rPr>
        <w:footnoteRef/>
      </w:r>
      <w:r w:rsidRPr="00FB730E">
        <w:t xml:space="preserve"> </w:t>
      </w:r>
      <w:bookmarkStart w:id="1" w:name="_Hlk210813766"/>
      <w:bookmarkStart w:id="2" w:name="_Hlk210815328"/>
      <w:r w:rsidR="00FB730E" w:rsidRPr="00FB730E">
        <w:rPr>
          <w:bCs/>
          <w:sz w:val="16"/>
        </w:rPr>
        <w:t>A</w:t>
      </w:r>
      <w:r w:rsidRPr="00FB730E">
        <w:rPr>
          <w:bCs/>
          <w:sz w:val="16"/>
        </w:rPr>
        <w:t xml:space="preserve">i sensi </w:t>
      </w:r>
      <w:r w:rsidRPr="00FB730E">
        <w:rPr>
          <w:b/>
          <w:sz w:val="16"/>
        </w:rPr>
        <w:t>dell’art. 14, co, 2, del d.lgs. n. 33/2013</w:t>
      </w:r>
      <w:r w:rsidRPr="00FB730E">
        <w:rPr>
          <w:sz w:val="16"/>
        </w:rPr>
        <w:t>, le pubbliche amministrazioni pubblicano i dati per i tre anni successivi dalla cessazione         del mandato o dell'incarico dei soggetti</w:t>
      </w:r>
      <w:bookmarkEnd w:id="1"/>
      <w:r w:rsidRPr="00FB730E">
        <w:rPr>
          <w:sz w:val="16"/>
        </w:rPr>
        <w: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530"/>
      <w:gridCol w:w="1197"/>
    </w:tblGrid>
    <w:tr w:rsidR="008E2D69" w14:paraId="0A65E50C" w14:textId="77777777" w:rsidTr="00D20D97">
      <w:trPr>
        <w:trHeight w:val="288"/>
      </w:trPr>
      <w:tc>
        <w:tcPr>
          <w:tcW w:w="9530" w:type="dxa"/>
        </w:tcPr>
        <w:p w14:paraId="39025B51" w14:textId="4EB6C131" w:rsidR="00792F4D" w:rsidRPr="00733F51"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INCOMPATIBILITA’ ex art. 20 d.lgs. n. 39/2013</w:t>
          </w:r>
        </w:p>
      </w:tc>
      <w:tc>
        <w:tcPr>
          <w:tcW w:w="1197" w:type="dxa"/>
        </w:tcPr>
        <w:p w14:paraId="2A75F5DD" w14:textId="77777777"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14:paraId="0210B4F6" w14:textId="77777777" w:rsidR="008E2D69" w:rsidRDefault="008E2D69" w:rsidP="00D20D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F84F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80ECA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ED7509"/>
    <w:multiLevelType w:val="multilevel"/>
    <w:tmpl w:val="574A312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3" w15:restartNumberingAfterBreak="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21" w15:restartNumberingAfterBreak="0">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05E6D42"/>
    <w:multiLevelType w:val="multilevel"/>
    <w:tmpl w:val="EACEA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7" w15:restartNumberingAfterBreak="0">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3" w15:restartNumberingAfterBreak="0">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4" w15:restartNumberingAfterBreak="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EA130B"/>
    <w:multiLevelType w:val="multilevel"/>
    <w:tmpl w:val="C79E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9" w15:restartNumberingAfterBreak="0">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0" w15:restartNumberingAfterBreak="0">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983102">
    <w:abstractNumId w:val="14"/>
  </w:num>
  <w:num w:numId="2" w16cid:durableId="992492962">
    <w:abstractNumId w:val="37"/>
  </w:num>
  <w:num w:numId="3" w16cid:durableId="1215240778">
    <w:abstractNumId w:val="2"/>
  </w:num>
  <w:num w:numId="4" w16cid:durableId="1702172111">
    <w:abstractNumId w:val="34"/>
  </w:num>
  <w:num w:numId="5" w16cid:durableId="900792344">
    <w:abstractNumId w:val="26"/>
  </w:num>
  <w:num w:numId="6" w16cid:durableId="38289601">
    <w:abstractNumId w:val="18"/>
  </w:num>
  <w:num w:numId="7" w16cid:durableId="1088044430">
    <w:abstractNumId w:val="9"/>
  </w:num>
  <w:num w:numId="8" w16cid:durableId="993098184">
    <w:abstractNumId w:val="3"/>
  </w:num>
  <w:num w:numId="9" w16cid:durableId="967197273">
    <w:abstractNumId w:val="31"/>
  </w:num>
  <w:num w:numId="10" w16cid:durableId="60450380">
    <w:abstractNumId w:val="23"/>
  </w:num>
  <w:num w:numId="11" w16cid:durableId="402413521">
    <w:abstractNumId w:val="40"/>
  </w:num>
  <w:num w:numId="12" w16cid:durableId="1641380849">
    <w:abstractNumId w:val="6"/>
  </w:num>
  <w:num w:numId="13" w16cid:durableId="988247543">
    <w:abstractNumId w:val="35"/>
  </w:num>
  <w:num w:numId="14" w16cid:durableId="2134470879">
    <w:abstractNumId w:val="19"/>
  </w:num>
  <w:num w:numId="15" w16cid:durableId="312368618">
    <w:abstractNumId w:val="4"/>
  </w:num>
  <w:num w:numId="16" w16cid:durableId="1852648047">
    <w:abstractNumId w:val="28"/>
  </w:num>
  <w:num w:numId="17" w16cid:durableId="1854803386">
    <w:abstractNumId w:val="5"/>
  </w:num>
  <w:num w:numId="18" w16cid:durableId="2055806253">
    <w:abstractNumId w:val="29"/>
  </w:num>
  <w:num w:numId="19" w16cid:durableId="1646424319">
    <w:abstractNumId w:val="27"/>
  </w:num>
  <w:num w:numId="20" w16cid:durableId="820197680">
    <w:abstractNumId w:val="16"/>
  </w:num>
  <w:num w:numId="21" w16cid:durableId="1919362869">
    <w:abstractNumId w:val="13"/>
  </w:num>
  <w:num w:numId="22" w16cid:durableId="246037712">
    <w:abstractNumId w:val="17"/>
  </w:num>
  <w:num w:numId="23" w16cid:durableId="1990010979">
    <w:abstractNumId w:val="10"/>
  </w:num>
  <w:num w:numId="24" w16cid:durableId="1827435606">
    <w:abstractNumId w:val="33"/>
  </w:num>
  <w:num w:numId="25" w16cid:durableId="1086613640">
    <w:abstractNumId w:val="25"/>
  </w:num>
  <w:num w:numId="26" w16cid:durableId="1725248445">
    <w:abstractNumId w:val="32"/>
  </w:num>
  <w:num w:numId="27" w16cid:durableId="1820223202">
    <w:abstractNumId w:val="38"/>
  </w:num>
  <w:num w:numId="28" w16cid:durableId="1473788303">
    <w:abstractNumId w:val="15"/>
  </w:num>
  <w:num w:numId="29" w16cid:durableId="1581066089">
    <w:abstractNumId w:val="12"/>
  </w:num>
  <w:num w:numId="30" w16cid:durableId="1886984390">
    <w:abstractNumId w:val="39"/>
  </w:num>
  <w:num w:numId="31" w16cid:durableId="1129007361">
    <w:abstractNumId w:val="21"/>
  </w:num>
  <w:num w:numId="32" w16cid:durableId="1875271095">
    <w:abstractNumId w:val="22"/>
  </w:num>
  <w:num w:numId="33" w16cid:durableId="1937595967">
    <w:abstractNumId w:val="8"/>
  </w:num>
  <w:num w:numId="34" w16cid:durableId="1688171490">
    <w:abstractNumId w:val="7"/>
  </w:num>
  <w:num w:numId="35" w16cid:durableId="1109853305">
    <w:abstractNumId w:val="30"/>
  </w:num>
  <w:num w:numId="36" w16cid:durableId="2070419918">
    <w:abstractNumId w:val="20"/>
  </w:num>
  <w:num w:numId="37" w16cid:durableId="1971327991">
    <w:abstractNumId w:val="24"/>
  </w:num>
  <w:num w:numId="38" w16cid:durableId="906459050">
    <w:abstractNumId w:val="11"/>
  </w:num>
  <w:num w:numId="39" w16cid:durableId="2131896338">
    <w:abstractNumId w:val="36"/>
  </w:num>
  <w:num w:numId="40" w16cid:durableId="514921655">
    <w:abstractNumId w:val="0"/>
  </w:num>
  <w:num w:numId="41" w16cid:durableId="656999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33"/>
    <w:rsid w:val="000159DE"/>
    <w:rsid w:val="00022B39"/>
    <w:rsid w:val="00030385"/>
    <w:rsid w:val="00043483"/>
    <w:rsid w:val="00045158"/>
    <w:rsid w:val="0004658A"/>
    <w:rsid w:val="00047713"/>
    <w:rsid w:val="00060F2B"/>
    <w:rsid w:val="0006494A"/>
    <w:rsid w:val="0007024C"/>
    <w:rsid w:val="000763F7"/>
    <w:rsid w:val="00095A1A"/>
    <w:rsid w:val="000A5B85"/>
    <w:rsid w:val="000A6AED"/>
    <w:rsid w:val="000B17D4"/>
    <w:rsid w:val="000B7A3F"/>
    <w:rsid w:val="000C2022"/>
    <w:rsid w:val="000C41ED"/>
    <w:rsid w:val="000D73C8"/>
    <w:rsid w:val="000E1E88"/>
    <w:rsid w:val="000E3DEA"/>
    <w:rsid w:val="000E5D8E"/>
    <w:rsid w:val="00113CB0"/>
    <w:rsid w:val="0012164E"/>
    <w:rsid w:val="00126DAF"/>
    <w:rsid w:val="00140F5C"/>
    <w:rsid w:val="0015463B"/>
    <w:rsid w:val="00162B5C"/>
    <w:rsid w:val="0016404C"/>
    <w:rsid w:val="001657FD"/>
    <w:rsid w:val="00170A70"/>
    <w:rsid w:val="00170C1F"/>
    <w:rsid w:val="00171185"/>
    <w:rsid w:val="001816E3"/>
    <w:rsid w:val="00184463"/>
    <w:rsid w:val="00185821"/>
    <w:rsid w:val="001A5726"/>
    <w:rsid w:val="001A58E6"/>
    <w:rsid w:val="001B44B5"/>
    <w:rsid w:val="001B6EED"/>
    <w:rsid w:val="001C6033"/>
    <w:rsid w:val="001D524E"/>
    <w:rsid w:val="001D65F9"/>
    <w:rsid w:val="001E5ABB"/>
    <w:rsid w:val="001F57F5"/>
    <w:rsid w:val="001F5CF0"/>
    <w:rsid w:val="002005EF"/>
    <w:rsid w:val="00203938"/>
    <w:rsid w:val="00205FFC"/>
    <w:rsid w:val="002064E6"/>
    <w:rsid w:val="0021744D"/>
    <w:rsid w:val="0022655F"/>
    <w:rsid w:val="00232DFF"/>
    <w:rsid w:val="00245690"/>
    <w:rsid w:val="00250E40"/>
    <w:rsid w:val="002604E5"/>
    <w:rsid w:val="00264AF4"/>
    <w:rsid w:val="00271EAF"/>
    <w:rsid w:val="00277A5B"/>
    <w:rsid w:val="00290EE0"/>
    <w:rsid w:val="002A43B7"/>
    <w:rsid w:val="002D61F7"/>
    <w:rsid w:val="002E2087"/>
    <w:rsid w:val="00302A7D"/>
    <w:rsid w:val="00304857"/>
    <w:rsid w:val="00306431"/>
    <w:rsid w:val="003108E5"/>
    <w:rsid w:val="00310EC2"/>
    <w:rsid w:val="00312F99"/>
    <w:rsid w:val="0031395D"/>
    <w:rsid w:val="003226EE"/>
    <w:rsid w:val="003250DA"/>
    <w:rsid w:val="00337A8F"/>
    <w:rsid w:val="003440FD"/>
    <w:rsid w:val="003538B6"/>
    <w:rsid w:val="00356F15"/>
    <w:rsid w:val="00364332"/>
    <w:rsid w:val="0037164B"/>
    <w:rsid w:val="00373D77"/>
    <w:rsid w:val="003830CE"/>
    <w:rsid w:val="00393019"/>
    <w:rsid w:val="0039706F"/>
    <w:rsid w:val="003A0156"/>
    <w:rsid w:val="003A3014"/>
    <w:rsid w:val="003C05C1"/>
    <w:rsid w:val="003C3090"/>
    <w:rsid w:val="003C31FD"/>
    <w:rsid w:val="003E1096"/>
    <w:rsid w:val="004026B4"/>
    <w:rsid w:val="004050E0"/>
    <w:rsid w:val="00410471"/>
    <w:rsid w:val="00413E87"/>
    <w:rsid w:val="00430E8A"/>
    <w:rsid w:val="0043650B"/>
    <w:rsid w:val="0044244F"/>
    <w:rsid w:val="00445E99"/>
    <w:rsid w:val="00451C53"/>
    <w:rsid w:val="00476160"/>
    <w:rsid w:val="00490DB2"/>
    <w:rsid w:val="004A6662"/>
    <w:rsid w:val="004B064F"/>
    <w:rsid w:val="004B76F9"/>
    <w:rsid w:val="004B7FCE"/>
    <w:rsid w:val="004D06E3"/>
    <w:rsid w:val="004D184F"/>
    <w:rsid w:val="004E1C6D"/>
    <w:rsid w:val="004E708C"/>
    <w:rsid w:val="00501D92"/>
    <w:rsid w:val="0050236F"/>
    <w:rsid w:val="005159A8"/>
    <w:rsid w:val="0052056C"/>
    <w:rsid w:val="0054713A"/>
    <w:rsid w:val="00550447"/>
    <w:rsid w:val="005515C3"/>
    <w:rsid w:val="005664E8"/>
    <w:rsid w:val="00576628"/>
    <w:rsid w:val="00595120"/>
    <w:rsid w:val="005A4365"/>
    <w:rsid w:val="005A79DA"/>
    <w:rsid w:val="005B5DDF"/>
    <w:rsid w:val="005C0D66"/>
    <w:rsid w:val="005C29E7"/>
    <w:rsid w:val="005D375C"/>
    <w:rsid w:val="006049D5"/>
    <w:rsid w:val="00612F2F"/>
    <w:rsid w:val="0061727F"/>
    <w:rsid w:val="0062154C"/>
    <w:rsid w:val="00640EBD"/>
    <w:rsid w:val="00641232"/>
    <w:rsid w:val="006500E0"/>
    <w:rsid w:val="00662F7A"/>
    <w:rsid w:val="00665E16"/>
    <w:rsid w:val="00686A84"/>
    <w:rsid w:val="00691E8A"/>
    <w:rsid w:val="006954A7"/>
    <w:rsid w:val="00696737"/>
    <w:rsid w:val="006A61AA"/>
    <w:rsid w:val="006B3767"/>
    <w:rsid w:val="006C0F11"/>
    <w:rsid w:val="006C7D3E"/>
    <w:rsid w:val="006E1AC5"/>
    <w:rsid w:val="006E1B8E"/>
    <w:rsid w:val="006E69E4"/>
    <w:rsid w:val="00714FCA"/>
    <w:rsid w:val="00717B29"/>
    <w:rsid w:val="00733F51"/>
    <w:rsid w:val="007349D1"/>
    <w:rsid w:val="007442C8"/>
    <w:rsid w:val="0075022F"/>
    <w:rsid w:val="00751E1F"/>
    <w:rsid w:val="0077649D"/>
    <w:rsid w:val="00781931"/>
    <w:rsid w:val="00792F4D"/>
    <w:rsid w:val="007960A7"/>
    <w:rsid w:val="007B3511"/>
    <w:rsid w:val="007B50E1"/>
    <w:rsid w:val="007C0B65"/>
    <w:rsid w:val="007C15EB"/>
    <w:rsid w:val="007C34CE"/>
    <w:rsid w:val="007C4612"/>
    <w:rsid w:val="007D0045"/>
    <w:rsid w:val="007D1D13"/>
    <w:rsid w:val="007F141F"/>
    <w:rsid w:val="00803886"/>
    <w:rsid w:val="00804EB7"/>
    <w:rsid w:val="00813049"/>
    <w:rsid w:val="00814389"/>
    <w:rsid w:val="00823823"/>
    <w:rsid w:val="008277D0"/>
    <w:rsid w:val="008355A4"/>
    <w:rsid w:val="00847EA4"/>
    <w:rsid w:val="00850B25"/>
    <w:rsid w:val="00854115"/>
    <w:rsid w:val="00864E26"/>
    <w:rsid w:val="00893CA7"/>
    <w:rsid w:val="00896CD8"/>
    <w:rsid w:val="008B0C2C"/>
    <w:rsid w:val="008B6AA8"/>
    <w:rsid w:val="008B77B1"/>
    <w:rsid w:val="008B7DD7"/>
    <w:rsid w:val="008E2D69"/>
    <w:rsid w:val="008E7F91"/>
    <w:rsid w:val="008F1B31"/>
    <w:rsid w:val="008F74CA"/>
    <w:rsid w:val="0090776B"/>
    <w:rsid w:val="00910D3F"/>
    <w:rsid w:val="00924018"/>
    <w:rsid w:val="00940544"/>
    <w:rsid w:val="00940FD4"/>
    <w:rsid w:val="00941053"/>
    <w:rsid w:val="00946B56"/>
    <w:rsid w:val="0096028D"/>
    <w:rsid w:val="009B17F2"/>
    <w:rsid w:val="009B6EFC"/>
    <w:rsid w:val="009B7899"/>
    <w:rsid w:val="009C7F7A"/>
    <w:rsid w:val="009D56A7"/>
    <w:rsid w:val="009D6727"/>
    <w:rsid w:val="009F7E36"/>
    <w:rsid w:val="00A078B5"/>
    <w:rsid w:val="00A20C7D"/>
    <w:rsid w:val="00A21829"/>
    <w:rsid w:val="00A24412"/>
    <w:rsid w:val="00A36896"/>
    <w:rsid w:val="00A4109D"/>
    <w:rsid w:val="00A43279"/>
    <w:rsid w:val="00A47510"/>
    <w:rsid w:val="00A61285"/>
    <w:rsid w:val="00A76C67"/>
    <w:rsid w:val="00AC70CE"/>
    <w:rsid w:val="00B04EFB"/>
    <w:rsid w:val="00B20FB4"/>
    <w:rsid w:val="00B21289"/>
    <w:rsid w:val="00B23CA0"/>
    <w:rsid w:val="00B24D34"/>
    <w:rsid w:val="00B4300C"/>
    <w:rsid w:val="00B44779"/>
    <w:rsid w:val="00B61548"/>
    <w:rsid w:val="00B67704"/>
    <w:rsid w:val="00B70A13"/>
    <w:rsid w:val="00B720F8"/>
    <w:rsid w:val="00B74043"/>
    <w:rsid w:val="00B87398"/>
    <w:rsid w:val="00B91ED9"/>
    <w:rsid w:val="00B92EC7"/>
    <w:rsid w:val="00B93CEB"/>
    <w:rsid w:val="00BA343A"/>
    <w:rsid w:val="00BB0441"/>
    <w:rsid w:val="00BC064B"/>
    <w:rsid w:val="00BC30D8"/>
    <w:rsid w:val="00BC7732"/>
    <w:rsid w:val="00BC7B6F"/>
    <w:rsid w:val="00BD6D9B"/>
    <w:rsid w:val="00C0653D"/>
    <w:rsid w:val="00C168AD"/>
    <w:rsid w:val="00C43CFE"/>
    <w:rsid w:val="00C447E4"/>
    <w:rsid w:val="00C50247"/>
    <w:rsid w:val="00C541DE"/>
    <w:rsid w:val="00C56EA0"/>
    <w:rsid w:val="00C72A17"/>
    <w:rsid w:val="00C97882"/>
    <w:rsid w:val="00CA394A"/>
    <w:rsid w:val="00CC2DB7"/>
    <w:rsid w:val="00CD124D"/>
    <w:rsid w:val="00CD5B8D"/>
    <w:rsid w:val="00CD653E"/>
    <w:rsid w:val="00CE33F1"/>
    <w:rsid w:val="00CE4F92"/>
    <w:rsid w:val="00CE4FDF"/>
    <w:rsid w:val="00D147DF"/>
    <w:rsid w:val="00D15D33"/>
    <w:rsid w:val="00D20BAD"/>
    <w:rsid w:val="00D20D97"/>
    <w:rsid w:val="00D2394A"/>
    <w:rsid w:val="00D3085F"/>
    <w:rsid w:val="00D31E6E"/>
    <w:rsid w:val="00D33823"/>
    <w:rsid w:val="00D43F10"/>
    <w:rsid w:val="00D45027"/>
    <w:rsid w:val="00D5038D"/>
    <w:rsid w:val="00D5473F"/>
    <w:rsid w:val="00D748E0"/>
    <w:rsid w:val="00D81E6D"/>
    <w:rsid w:val="00D90679"/>
    <w:rsid w:val="00D97A61"/>
    <w:rsid w:val="00DA0A94"/>
    <w:rsid w:val="00DB0AC8"/>
    <w:rsid w:val="00DB11CD"/>
    <w:rsid w:val="00DB4BD2"/>
    <w:rsid w:val="00DB5F57"/>
    <w:rsid w:val="00DC56E2"/>
    <w:rsid w:val="00DD1736"/>
    <w:rsid w:val="00DD6664"/>
    <w:rsid w:val="00DD7CAD"/>
    <w:rsid w:val="00DE36F2"/>
    <w:rsid w:val="00DE582B"/>
    <w:rsid w:val="00DF1859"/>
    <w:rsid w:val="00DF7E35"/>
    <w:rsid w:val="00E01451"/>
    <w:rsid w:val="00E066B1"/>
    <w:rsid w:val="00E133E5"/>
    <w:rsid w:val="00E23AB6"/>
    <w:rsid w:val="00E30C21"/>
    <w:rsid w:val="00E33728"/>
    <w:rsid w:val="00E41B99"/>
    <w:rsid w:val="00E43A3F"/>
    <w:rsid w:val="00E67499"/>
    <w:rsid w:val="00EA056E"/>
    <w:rsid w:val="00EC4C9D"/>
    <w:rsid w:val="00EE1A7A"/>
    <w:rsid w:val="00EF296A"/>
    <w:rsid w:val="00EF3419"/>
    <w:rsid w:val="00F000EE"/>
    <w:rsid w:val="00F12EEA"/>
    <w:rsid w:val="00F21E74"/>
    <w:rsid w:val="00F30FD3"/>
    <w:rsid w:val="00F3127E"/>
    <w:rsid w:val="00F435D3"/>
    <w:rsid w:val="00F45224"/>
    <w:rsid w:val="00F46AF4"/>
    <w:rsid w:val="00F950FA"/>
    <w:rsid w:val="00FA6A2B"/>
    <w:rsid w:val="00FB730E"/>
    <w:rsid w:val="00FD79B3"/>
    <w:rsid w:val="00FE52C8"/>
    <w:rsid w:val="00FE5C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623F"/>
  <w15:docId w15:val="{5D8E293A-D179-4F45-A855-70EE458A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testo">
    <w:name w:val="Body Text"/>
    <w:basedOn w:val="Normale"/>
    <w:link w:val="Corpo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Collegamentoipertestuale">
    <w:name w:val="Hyperlink"/>
    <w:basedOn w:val="Carpredefinitoparagrafo"/>
    <w:uiPriority w:val="99"/>
    <w:semiHidden/>
    <w:unhideWhenUsed/>
    <w:rsid w:val="0096028D"/>
    <w:rPr>
      <w:color w:val="0000FF" w:themeColor="hyperlink"/>
      <w:u w:val="single"/>
    </w:rPr>
  </w:style>
  <w:style w:type="paragraph" w:customStyle="1" w:styleId="Default">
    <w:name w:val="Default"/>
    <w:rsid w:val="008F74CA"/>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A21829"/>
    <w:rPr>
      <w:sz w:val="16"/>
      <w:szCs w:val="16"/>
    </w:rPr>
  </w:style>
  <w:style w:type="paragraph" w:styleId="Testocommento">
    <w:name w:val="annotation text"/>
    <w:basedOn w:val="Normale"/>
    <w:link w:val="TestocommentoCarattere"/>
    <w:uiPriority w:val="99"/>
    <w:unhideWhenUsed/>
    <w:rsid w:val="00A21829"/>
    <w:pPr>
      <w:spacing w:line="240" w:lineRule="auto"/>
    </w:pPr>
    <w:rPr>
      <w:sz w:val="20"/>
      <w:szCs w:val="20"/>
    </w:rPr>
  </w:style>
  <w:style w:type="character" w:customStyle="1" w:styleId="TestocommentoCarattere">
    <w:name w:val="Testo commento Carattere"/>
    <w:basedOn w:val="Carpredefinitoparagrafo"/>
    <w:link w:val="Testocommento"/>
    <w:uiPriority w:val="99"/>
    <w:rsid w:val="00A21829"/>
    <w:rPr>
      <w:sz w:val="20"/>
      <w:szCs w:val="20"/>
    </w:rPr>
  </w:style>
  <w:style w:type="paragraph" w:styleId="Soggettocommento">
    <w:name w:val="annotation subject"/>
    <w:basedOn w:val="Testocommento"/>
    <w:next w:val="Testocommento"/>
    <w:link w:val="SoggettocommentoCarattere"/>
    <w:uiPriority w:val="99"/>
    <w:semiHidden/>
    <w:unhideWhenUsed/>
    <w:rsid w:val="00A21829"/>
    <w:rPr>
      <w:b/>
      <w:bCs/>
    </w:rPr>
  </w:style>
  <w:style w:type="character" w:customStyle="1" w:styleId="SoggettocommentoCarattere">
    <w:name w:val="Soggetto commento Carattere"/>
    <w:basedOn w:val="TestocommentoCarattere"/>
    <w:link w:val="Soggettocommento"/>
    <w:uiPriority w:val="99"/>
    <w:semiHidden/>
    <w:rsid w:val="00A218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1074">
      <w:bodyDiv w:val="1"/>
      <w:marLeft w:val="0"/>
      <w:marRight w:val="0"/>
      <w:marTop w:val="0"/>
      <w:marBottom w:val="0"/>
      <w:divBdr>
        <w:top w:val="none" w:sz="0" w:space="0" w:color="auto"/>
        <w:left w:val="none" w:sz="0" w:space="0" w:color="auto"/>
        <w:bottom w:val="none" w:sz="0" w:space="0" w:color="auto"/>
        <w:right w:val="none" w:sz="0" w:space="0" w:color="auto"/>
      </w:divBdr>
    </w:div>
    <w:div w:id="480315272">
      <w:bodyDiv w:val="1"/>
      <w:marLeft w:val="0"/>
      <w:marRight w:val="0"/>
      <w:marTop w:val="0"/>
      <w:marBottom w:val="0"/>
      <w:divBdr>
        <w:top w:val="none" w:sz="0" w:space="0" w:color="auto"/>
        <w:left w:val="none" w:sz="0" w:space="0" w:color="auto"/>
        <w:bottom w:val="none" w:sz="0" w:space="0" w:color="auto"/>
        <w:right w:val="none" w:sz="0" w:space="0" w:color="auto"/>
      </w:divBdr>
    </w:div>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 w:id="1005474748">
      <w:bodyDiv w:val="1"/>
      <w:marLeft w:val="0"/>
      <w:marRight w:val="0"/>
      <w:marTop w:val="0"/>
      <w:marBottom w:val="0"/>
      <w:divBdr>
        <w:top w:val="none" w:sz="0" w:space="0" w:color="auto"/>
        <w:left w:val="none" w:sz="0" w:space="0" w:color="auto"/>
        <w:bottom w:val="none" w:sz="0" w:space="0" w:color="auto"/>
        <w:right w:val="none" w:sz="0" w:space="0" w:color="auto"/>
      </w:divBdr>
    </w:div>
    <w:div w:id="1389374260">
      <w:bodyDiv w:val="1"/>
      <w:marLeft w:val="0"/>
      <w:marRight w:val="0"/>
      <w:marTop w:val="0"/>
      <w:marBottom w:val="0"/>
      <w:divBdr>
        <w:top w:val="none" w:sz="0" w:space="0" w:color="auto"/>
        <w:left w:val="none" w:sz="0" w:space="0" w:color="auto"/>
        <w:bottom w:val="none" w:sz="0" w:space="0" w:color="auto"/>
        <w:right w:val="none" w:sz="0" w:space="0" w:color="auto"/>
      </w:divBdr>
    </w:div>
    <w:div w:id="1537690842">
      <w:bodyDiv w:val="1"/>
      <w:marLeft w:val="0"/>
      <w:marRight w:val="0"/>
      <w:marTop w:val="0"/>
      <w:marBottom w:val="0"/>
      <w:divBdr>
        <w:top w:val="none" w:sz="0" w:space="0" w:color="auto"/>
        <w:left w:val="none" w:sz="0" w:space="0" w:color="auto"/>
        <w:bottom w:val="none" w:sz="0" w:space="0" w:color="auto"/>
        <w:right w:val="none" w:sz="0" w:space="0" w:color="auto"/>
      </w:divBdr>
    </w:div>
    <w:div w:id="199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D85A-556E-4897-BACE-6BD518F7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Pages>
  <Words>347</Words>
  <Characters>1980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Renzi Rita</cp:lastModifiedBy>
  <cp:revision>85</cp:revision>
  <cp:lastPrinted>2023-10-19T13:09:00Z</cp:lastPrinted>
  <dcterms:created xsi:type="dcterms:W3CDTF">2023-10-10T09:41:00Z</dcterms:created>
  <dcterms:modified xsi:type="dcterms:W3CDTF">2026-03-19T09:46:00Z</dcterms:modified>
</cp:coreProperties>
</file>